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103" w:rsidRDefault="00691D54" w:rsidP="00CF01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FCN 41</w:t>
      </w:r>
      <w:r w:rsidR="00317245">
        <w:rPr>
          <w:rFonts w:ascii="Arial" w:hAnsi="Arial" w:cs="Arial"/>
          <w:sz w:val="24"/>
          <w:szCs w:val="24"/>
        </w:rPr>
        <w:t xml:space="preserve">6 - </w:t>
      </w:r>
      <w:r>
        <w:rPr>
          <w:rFonts w:ascii="Arial" w:hAnsi="Arial" w:cs="Arial"/>
          <w:sz w:val="24"/>
          <w:szCs w:val="24"/>
        </w:rPr>
        <w:t xml:space="preserve">Sales </w:t>
      </w:r>
      <w:r w:rsidR="00CF0103">
        <w:rPr>
          <w:rFonts w:ascii="Arial" w:hAnsi="Arial" w:cs="Arial"/>
          <w:sz w:val="24"/>
          <w:szCs w:val="24"/>
        </w:rPr>
        <w:br/>
      </w:r>
      <w:r w:rsidR="00317245">
        <w:rPr>
          <w:rFonts w:ascii="Arial" w:hAnsi="Arial" w:cs="Arial"/>
          <w:sz w:val="24"/>
          <w:szCs w:val="24"/>
        </w:rPr>
        <w:t>Test</w:t>
      </w:r>
      <w:r w:rsidR="00D6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61340">
        <w:rPr>
          <w:rFonts w:ascii="Arial" w:hAnsi="Arial" w:cs="Arial"/>
          <w:sz w:val="24"/>
          <w:szCs w:val="24"/>
        </w:rPr>
        <w:t xml:space="preserve"> </w:t>
      </w:r>
      <w:r w:rsidR="00317245">
        <w:rPr>
          <w:rFonts w:ascii="Arial" w:hAnsi="Arial" w:cs="Arial"/>
          <w:sz w:val="24"/>
          <w:szCs w:val="24"/>
        </w:rPr>
        <w:t>March 8, 2018</w:t>
      </w:r>
      <w:r w:rsidR="000344F1">
        <w:rPr>
          <w:rFonts w:ascii="Arial" w:hAnsi="Arial" w:cs="Arial"/>
          <w:sz w:val="24"/>
          <w:szCs w:val="24"/>
        </w:rPr>
        <w:br/>
      </w:r>
      <w:r w:rsidR="00317245">
        <w:rPr>
          <w:rFonts w:ascii="Arial" w:hAnsi="Arial" w:cs="Arial"/>
          <w:sz w:val="24"/>
          <w:szCs w:val="24"/>
        </w:rPr>
        <w:t>Facilitat</w:t>
      </w:r>
      <w:r w:rsidR="000344F1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>: Charles L. Robinson</w:t>
      </w:r>
    </w:p>
    <w:p w:rsidR="00CF0103" w:rsidRDefault="00CF0103" w:rsidP="00CF0103">
      <w:pPr>
        <w:pStyle w:val="ListParagraph"/>
        <w:rPr>
          <w:rFonts w:ascii="Arial" w:hAnsi="Arial" w:cs="Arial"/>
          <w:sz w:val="24"/>
          <w:szCs w:val="24"/>
        </w:rPr>
      </w:pPr>
    </w:p>
    <w:p w:rsidR="00C71554" w:rsidRPr="00714852" w:rsidRDefault="00C71554" w:rsidP="00C7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950">
        <w:rPr>
          <w:rFonts w:ascii="Arial" w:hAnsi="Arial" w:cs="Arial"/>
          <w:sz w:val="24"/>
          <w:szCs w:val="24"/>
        </w:rPr>
        <w:t xml:space="preserve">Which FMR </w:t>
      </w:r>
      <w:r w:rsidR="008D6DCC">
        <w:rPr>
          <w:rFonts w:ascii="Arial" w:hAnsi="Arial" w:cs="Arial"/>
          <w:sz w:val="24"/>
          <w:szCs w:val="24"/>
        </w:rPr>
        <w:t xml:space="preserve">subpart </w:t>
      </w:r>
      <w:r w:rsidRPr="00693950">
        <w:rPr>
          <w:rFonts w:ascii="Arial" w:hAnsi="Arial" w:cs="Arial"/>
          <w:sz w:val="24"/>
          <w:szCs w:val="24"/>
        </w:rPr>
        <w:t xml:space="preserve">applies </w:t>
      </w:r>
      <w:r>
        <w:rPr>
          <w:rFonts w:ascii="Arial" w:hAnsi="Arial" w:cs="Arial"/>
          <w:sz w:val="24"/>
          <w:szCs w:val="24"/>
        </w:rPr>
        <w:t>to</w:t>
      </w:r>
      <w:r w:rsidRPr="00693950">
        <w:rPr>
          <w:rFonts w:ascii="Arial" w:hAnsi="Arial" w:cs="Arial"/>
          <w:sz w:val="24"/>
          <w:szCs w:val="24"/>
        </w:rPr>
        <w:t xml:space="preserve"> the “</w:t>
      </w:r>
      <w:r>
        <w:rPr>
          <w:rFonts w:ascii="Arial" w:hAnsi="Arial" w:cs="Arial"/>
          <w:sz w:val="24"/>
          <w:szCs w:val="24"/>
        </w:rPr>
        <w:t xml:space="preserve">Sale of </w:t>
      </w:r>
      <w:r w:rsidR="008D6DCC">
        <w:rPr>
          <w:rFonts w:ascii="Arial" w:hAnsi="Arial" w:cs="Arial"/>
          <w:sz w:val="24"/>
          <w:szCs w:val="24"/>
        </w:rPr>
        <w:t xml:space="preserve">Surplus </w:t>
      </w:r>
      <w:r w:rsidRPr="00693950">
        <w:rPr>
          <w:rFonts w:ascii="Arial" w:hAnsi="Arial" w:cs="Arial"/>
          <w:sz w:val="24"/>
          <w:szCs w:val="24"/>
        </w:rPr>
        <w:t>Personal Property”</w:t>
      </w:r>
      <w:r>
        <w:rPr>
          <w:rFonts w:ascii="Arial" w:hAnsi="Arial" w:cs="Arial"/>
          <w:sz w:val="24"/>
          <w:szCs w:val="24"/>
        </w:rPr>
        <w:t>?</w:t>
      </w:r>
    </w:p>
    <w:p w:rsidR="00C71554" w:rsidRPr="00693950" w:rsidRDefault="00C71554" w:rsidP="00C715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3950">
        <w:rPr>
          <w:rFonts w:ascii="Arial" w:hAnsi="Arial" w:cs="Arial"/>
          <w:sz w:val="24"/>
          <w:szCs w:val="24"/>
        </w:rPr>
        <w:t>102-38</w:t>
      </w:r>
    </w:p>
    <w:p w:rsidR="00C71554" w:rsidRPr="00693950" w:rsidRDefault="00C71554" w:rsidP="00C715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93950">
        <w:rPr>
          <w:rFonts w:ascii="Arial" w:hAnsi="Arial" w:cs="Arial"/>
          <w:sz w:val="24"/>
          <w:szCs w:val="24"/>
        </w:rPr>
        <w:t>102-36</w:t>
      </w:r>
    </w:p>
    <w:p w:rsidR="00C71554" w:rsidRDefault="00C71554" w:rsidP="00C715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102-41</w:t>
      </w:r>
    </w:p>
    <w:p w:rsidR="00C71554" w:rsidRDefault="00C71554" w:rsidP="00C7155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102-34</w:t>
      </w:r>
    </w:p>
    <w:p w:rsidR="00C71554" w:rsidRDefault="00C71554" w:rsidP="00C7155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691D54" w:rsidRDefault="00D16377" w:rsidP="00C7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93950">
        <w:rPr>
          <w:rFonts w:ascii="Arial" w:hAnsi="Arial" w:cs="Arial"/>
          <w:sz w:val="24"/>
          <w:szCs w:val="24"/>
        </w:rPr>
        <w:t xml:space="preserve">Who must comply with the provisions of </w:t>
      </w:r>
      <w:r w:rsidR="00261D11">
        <w:rPr>
          <w:rFonts w:ascii="Arial" w:hAnsi="Arial" w:cs="Arial"/>
          <w:sz w:val="24"/>
          <w:szCs w:val="24"/>
        </w:rPr>
        <w:t>the Federal Management Regulations (FMR) pertaining to Personal Property Management</w:t>
      </w:r>
      <w:r w:rsidRPr="00693950">
        <w:rPr>
          <w:rFonts w:ascii="Arial" w:hAnsi="Arial" w:cs="Arial"/>
          <w:sz w:val="24"/>
          <w:szCs w:val="24"/>
        </w:rPr>
        <w:t xml:space="preserve">? </w:t>
      </w:r>
      <w:r w:rsidR="00665FB1" w:rsidRPr="00714852">
        <w:rPr>
          <w:rFonts w:ascii="Arial" w:hAnsi="Arial" w:cs="Arial"/>
          <w:sz w:val="24"/>
          <w:szCs w:val="24"/>
        </w:rPr>
        <w:br/>
        <w:t>a.</w:t>
      </w:r>
      <w:r w:rsidR="00693950" w:rsidRPr="00714852">
        <w:rPr>
          <w:rFonts w:ascii="Arial" w:hAnsi="Arial" w:cs="Arial"/>
          <w:sz w:val="24"/>
          <w:szCs w:val="24"/>
        </w:rPr>
        <w:t xml:space="preserve"> </w:t>
      </w:r>
      <w:r w:rsidR="00691D54">
        <w:rPr>
          <w:rFonts w:ascii="Arial" w:hAnsi="Arial" w:cs="Arial"/>
          <w:sz w:val="24"/>
          <w:szCs w:val="24"/>
        </w:rPr>
        <w:t>Judicial agencies</w:t>
      </w:r>
      <w:r w:rsidR="00665FB1" w:rsidRPr="00714852">
        <w:rPr>
          <w:rFonts w:ascii="Arial" w:hAnsi="Arial" w:cs="Arial"/>
          <w:sz w:val="24"/>
          <w:szCs w:val="24"/>
        </w:rPr>
        <w:br/>
        <w:t xml:space="preserve">b. </w:t>
      </w:r>
      <w:r w:rsidR="00691D54">
        <w:rPr>
          <w:rFonts w:ascii="Arial" w:hAnsi="Arial" w:cs="Arial"/>
          <w:sz w:val="24"/>
          <w:szCs w:val="24"/>
        </w:rPr>
        <w:t>E</w:t>
      </w:r>
      <w:r w:rsidR="00665FB1" w:rsidRPr="00714852">
        <w:rPr>
          <w:rFonts w:ascii="Arial" w:hAnsi="Arial" w:cs="Arial"/>
          <w:sz w:val="24"/>
          <w:szCs w:val="24"/>
        </w:rPr>
        <w:t>xecutive agencies</w:t>
      </w:r>
    </w:p>
    <w:p w:rsidR="00691D54" w:rsidRDefault="00691D54" w:rsidP="00691D5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 Legislative agencies</w:t>
      </w:r>
    </w:p>
    <w:p w:rsidR="00C71554" w:rsidRDefault="00C71554" w:rsidP="00691D5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State agencies</w:t>
      </w:r>
    </w:p>
    <w:p w:rsidR="00C71554" w:rsidRDefault="00C71554" w:rsidP="00691D54">
      <w:pPr>
        <w:pStyle w:val="ListParagraph"/>
        <w:rPr>
          <w:rFonts w:ascii="Arial" w:hAnsi="Arial" w:cs="Arial"/>
          <w:sz w:val="24"/>
          <w:szCs w:val="24"/>
        </w:rPr>
      </w:pPr>
    </w:p>
    <w:p w:rsidR="00C71554" w:rsidRPr="00714852" w:rsidRDefault="00C71554" w:rsidP="00C7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the preferred method of </w:t>
      </w:r>
      <w:r w:rsidRPr="00693950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>ing</w:t>
      </w:r>
      <w:r w:rsidRPr="00693950">
        <w:rPr>
          <w:rFonts w:ascii="Arial" w:hAnsi="Arial" w:cs="Arial"/>
          <w:sz w:val="24"/>
          <w:szCs w:val="24"/>
        </w:rPr>
        <w:t xml:space="preserve"> excess </w:t>
      </w:r>
      <w:r>
        <w:rPr>
          <w:rFonts w:ascii="Arial" w:hAnsi="Arial" w:cs="Arial"/>
          <w:sz w:val="24"/>
          <w:szCs w:val="24"/>
        </w:rPr>
        <w:t xml:space="preserve">government owned personal </w:t>
      </w:r>
      <w:r w:rsidRPr="00693950">
        <w:rPr>
          <w:rFonts w:ascii="Arial" w:hAnsi="Arial" w:cs="Arial"/>
          <w:sz w:val="24"/>
          <w:szCs w:val="24"/>
        </w:rPr>
        <w:t>property?</w:t>
      </w:r>
      <w:r w:rsidRPr="00714852">
        <w:rPr>
          <w:rFonts w:ascii="Arial" w:hAnsi="Arial" w:cs="Arial"/>
          <w:sz w:val="24"/>
          <w:szCs w:val="24"/>
        </w:rPr>
        <w:br/>
        <w:t xml:space="preserve">a. </w:t>
      </w:r>
      <w:proofErr w:type="spellStart"/>
      <w:r w:rsidRPr="00714852">
        <w:rPr>
          <w:rFonts w:ascii="Arial" w:hAnsi="Arial" w:cs="Arial"/>
          <w:sz w:val="24"/>
          <w:szCs w:val="24"/>
        </w:rPr>
        <w:t>GSAXcess</w:t>
      </w:r>
      <w:proofErr w:type="spellEnd"/>
      <w:r w:rsidRPr="00714852">
        <w:rPr>
          <w:rFonts w:ascii="Arial" w:hAnsi="Arial" w:cs="Arial"/>
          <w:sz w:val="24"/>
          <w:szCs w:val="24"/>
        </w:rPr>
        <w:t>®</w:t>
      </w:r>
    </w:p>
    <w:p w:rsidR="00C71554" w:rsidRPr="00693950" w:rsidRDefault="00C71554" w:rsidP="00C71554">
      <w:pPr>
        <w:pStyle w:val="ListParagraph"/>
        <w:rPr>
          <w:rFonts w:ascii="Arial" w:hAnsi="Arial" w:cs="Arial"/>
          <w:sz w:val="24"/>
          <w:szCs w:val="24"/>
        </w:rPr>
      </w:pPr>
      <w:r w:rsidRPr="00693950">
        <w:rPr>
          <w:rFonts w:ascii="Arial" w:hAnsi="Arial" w:cs="Arial"/>
          <w:sz w:val="24"/>
          <w:szCs w:val="24"/>
        </w:rPr>
        <w:t>b. SF 120</w:t>
      </w:r>
    </w:p>
    <w:p w:rsidR="00C71554" w:rsidRDefault="00C71554" w:rsidP="00C71554">
      <w:pPr>
        <w:pStyle w:val="ListParagraph"/>
        <w:rPr>
          <w:rFonts w:ascii="Arial" w:hAnsi="Arial" w:cs="Arial"/>
          <w:sz w:val="24"/>
          <w:szCs w:val="24"/>
        </w:rPr>
      </w:pPr>
      <w:r w:rsidRPr="00693950"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 xml:space="preserve"> SF 126</w:t>
      </w:r>
    </w:p>
    <w:p w:rsidR="00C71554" w:rsidRDefault="00C71554" w:rsidP="00C7155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Batch</w:t>
      </w:r>
    </w:p>
    <w:p w:rsidR="00C71554" w:rsidRDefault="00C71554" w:rsidP="00C71554">
      <w:pPr>
        <w:pStyle w:val="ListParagraph"/>
        <w:rPr>
          <w:rFonts w:ascii="Arial" w:hAnsi="Arial" w:cs="Arial"/>
          <w:sz w:val="24"/>
          <w:szCs w:val="24"/>
        </w:rPr>
      </w:pPr>
    </w:p>
    <w:p w:rsidR="00C71554" w:rsidRPr="00714852" w:rsidRDefault="00C71554" w:rsidP="00C7155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Act created GSA in 1949:</w:t>
      </w:r>
    </w:p>
    <w:p w:rsidR="00C71554" w:rsidRDefault="00C71554" w:rsidP="00C7155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Debt Collection Act</w:t>
      </w:r>
    </w:p>
    <w:p w:rsidR="00C71554" w:rsidRDefault="00C71554" w:rsidP="00C7155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Property and Administrative Services Act</w:t>
      </w:r>
    </w:p>
    <w:p w:rsidR="00C71554" w:rsidRDefault="00C71554" w:rsidP="00C7155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Stevenson-</w:t>
      </w:r>
      <w:proofErr w:type="spellStart"/>
      <w:r>
        <w:rPr>
          <w:rFonts w:ascii="Arial" w:hAnsi="Arial" w:cs="Arial"/>
          <w:sz w:val="24"/>
          <w:szCs w:val="24"/>
        </w:rPr>
        <w:t>Wydler</w:t>
      </w:r>
      <w:proofErr w:type="spellEnd"/>
      <w:r>
        <w:rPr>
          <w:rFonts w:ascii="Arial" w:hAnsi="Arial" w:cs="Arial"/>
          <w:sz w:val="24"/>
          <w:szCs w:val="24"/>
        </w:rPr>
        <w:t xml:space="preserve"> Act</w:t>
      </w:r>
    </w:p>
    <w:p w:rsidR="004439E2" w:rsidRDefault="00C71554" w:rsidP="004439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Affordable Care Act</w:t>
      </w:r>
    </w:p>
    <w:p w:rsidR="00665FB1" w:rsidRPr="004439E2" w:rsidRDefault="00665FB1" w:rsidP="004439E2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693950">
        <w:t xml:space="preserve">         </w:t>
      </w:r>
    </w:p>
    <w:p w:rsidR="004439E2" w:rsidRPr="00714852" w:rsidRDefault="004439E2" w:rsidP="004439E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following:</w:t>
      </w:r>
    </w:p>
    <w:p w:rsidR="004439E2" w:rsidRDefault="004439E2" w:rsidP="004439E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 Property</w:t>
      </w:r>
    </w:p>
    <w:p w:rsidR="004439E2" w:rsidRDefault="004439E2" w:rsidP="004439E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Surplus Personal Property</w:t>
      </w:r>
    </w:p>
    <w:p w:rsidR="004439E2" w:rsidRDefault="004439E2" w:rsidP="004439E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Property</w:t>
      </w:r>
    </w:p>
    <w:p w:rsidR="004439E2" w:rsidRDefault="004439E2" w:rsidP="004439E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Ratification</w:t>
      </w:r>
    </w:p>
    <w:p w:rsidR="004439E2" w:rsidRDefault="004439E2" w:rsidP="004439E2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 Market Value</w:t>
      </w:r>
    </w:p>
    <w:p w:rsidR="004439E2" w:rsidRDefault="004439E2" w:rsidP="004439E2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54C50" w:rsidRDefault="00154C50" w:rsidP="007148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five methods of sales.</w:t>
      </w:r>
    </w:p>
    <w:p w:rsidR="003410AF" w:rsidRDefault="003410AF" w:rsidP="003410AF">
      <w:pPr>
        <w:pStyle w:val="ListParagraph"/>
        <w:rPr>
          <w:rFonts w:ascii="Arial" w:hAnsi="Arial" w:cs="Arial"/>
          <w:sz w:val="24"/>
          <w:szCs w:val="24"/>
        </w:rPr>
      </w:pPr>
    </w:p>
    <w:p w:rsidR="003410AF" w:rsidRDefault="003410AF" w:rsidP="003410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According to FMR 102-38.80, you may use any method of sale provided the sale is _________ advertised and the personal property is sold with _____ and ____ competition.  You must select the method of sale that will bring _______ return at _______ cost.</w:t>
      </w:r>
    </w:p>
    <w:p w:rsidR="003410AF" w:rsidRPr="003410AF" w:rsidRDefault="003410AF" w:rsidP="003410AF">
      <w:pPr>
        <w:pStyle w:val="ListParagraph"/>
        <w:rPr>
          <w:rFonts w:ascii="Arial" w:hAnsi="Arial" w:cs="Arial"/>
          <w:sz w:val="24"/>
          <w:szCs w:val="24"/>
        </w:rPr>
      </w:pPr>
    </w:p>
    <w:p w:rsidR="009319F5" w:rsidRPr="008D6DCC" w:rsidRDefault="009319F5" w:rsidP="008D6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When describing property for sale, which of the following are most important </w:t>
      </w:r>
      <w:proofErr w:type="gramStart"/>
      <w:r>
        <w:rPr>
          <w:rFonts w:ascii="Arial" w:hAnsi="Arial" w:cs="Arial"/>
          <w:sz w:val="24"/>
          <w:szCs w:val="24"/>
        </w:rPr>
        <w:t>to  include</w:t>
      </w:r>
      <w:proofErr w:type="gramEnd"/>
      <w:r>
        <w:rPr>
          <w:rFonts w:ascii="Arial" w:hAnsi="Arial" w:cs="Arial"/>
          <w:sz w:val="24"/>
          <w:szCs w:val="24"/>
        </w:rPr>
        <w:t xml:space="preserve"> in the description?</w:t>
      </w:r>
    </w:p>
    <w:p w:rsidR="009319F5" w:rsidRDefault="009319F5" w:rsidP="00931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Manufacture</w:t>
      </w:r>
    </w:p>
    <w:p w:rsidR="009319F5" w:rsidRDefault="009319F5" w:rsidP="00931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</w:t>
      </w:r>
    </w:p>
    <w:p w:rsidR="009319F5" w:rsidRDefault="009319F5" w:rsidP="00931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Identification Number</w:t>
      </w:r>
    </w:p>
    <w:p w:rsidR="009319F5" w:rsidRDefault="009319F5" w:rsidP="00931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Serial number</w:t>
      </w:r>
    </w:p>
    <w:p w:rsidR="009319F5" w:rsidRDefault="009319F5" w:rsidP="00931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Condition</w:t>
      </w:r>
    </w:p>
    <w:p w:rsidR="009319F5" w:rsidRDefault="009319F5" w:rsidP="009319F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 above</w:t>
      </w:r>
    </w:p>
    <w:p w:rsidR="009319F5" w:rsidRDefault="009319F5" w:rsidP="009319F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049F" w:rsidRPr="008D6DCC" w:rsidRDefault="009319F5" w:rsidP="008D6DC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3049F">
        <w:rPr>
          <w:rFonts w:ascii="Arial" w:hAnsi="Arial" w:cs="Arial"/>
          <w:sz w:val="24"/>
          <w:szCs w:val="24"/>
        </w:rPr>
        <w:t>Identify the following acronyms:</w:t>
      </w:r>
    </w:p>
    <w:p w:rsidR="00C3049F" w:rsidRDefault="00C3049F" w:rsidP="00C304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SCO</w:t>
      </w:r>
    </w:p>
    <w:p w:rsidR="00C3049F" w:rsidRDefault="00C3049F" w:rsidP="00C304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IFB</w:t>
      </w:r>
    </w:p>
    <w:p w:rsidR="00C3049F" w:rsidRDefault="00C3049F" w:rsidP="00C304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FMR</w:t>
      </w:r>
    </w:p>
    <w:p w:rsidR="00C3049F" w:rsidRDefault="00C3049F" w:rsidP="00C304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SASy</w:t>
      </w:r>
      <w:proofErr w:type="spellEnd"/>
    </w:p>
    <w:p w:rsidR="00C3049F" w:rsidRDefault="00C3049F" w:rsidP="00C3049F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049F" w:rsidRDefault="00C3049F" w:rsidP="00C304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The General Sale Terms and Conditions can be found in:</w:t>
      </w:r>
    </w:p>
    <w:p w:rsidR="00C3049F" w:rsidRDefault="00C3049F" w:rsidP="00C304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Standard Form 171</w:t>
      </w:r>
    </w:p>
    <w:p w:rsidR="00C3049F" w:rsidRDefault="00C3049F" w:rsidP="00C304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Standard Form 126</w:t>
      </w:r>
    </w:p>
    <w:p w:rsidR="00C3049F" w:rsidRDefault="00C3049F" w:rsidP="00C304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Standard Form 114C</w:t>
      </w:r>
    </w:p>
    <w:p w:rsidR="00C3049F" w:rsidRDefault="00C3049F" w:rsidP="00C304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GSA Form 27A</w:t>
      </w:r>
    </w:p>
    <w:p w:rsidR="00C3049F" w:rsidRDefault="00C3049F" w:rsidP="00C304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Standard Form 97</w:t>
      </w:r>
    </w:p>
    <w:p w:rsidR="000F6563" w:rsidRDefault="000F6563" w:rsidP="000F656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3049F" w:rsidRDefault="000F6563" w:rsidP="00C304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This website allows federal agencies to check the status of their property reported for sale and/or withdraw property reported for sale:</w:t>
      </w:r>
    </w:p>
    <w:p w:rsidR="000F6563" w:rsidRDefault="00E079F2" w:rsidP="000F656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7" w:history="1">
        <w:r w:rsidR="000F6563" w:rsidRPr="00F34B79">
          <w:rPr>
            <w:rStyle w:val="Hyperlink"/>
            <w:rFonts w:ascii="Arial" w:hAnsi="Arial" w:cs="Arial"/>
            <w:sz w:val="24"/>
            <w:szCs w:val="24"/>
          </w:rPr>
          <w:t>www.gsaxcess.gov</w:t>
        </w:r>
      </w:hyperlink>
    </w:p>
    <w:p w:rsidR="000F6563" w:rsidRDefault="00E079F2" w:rsidP="000F656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8" w:history="1">
        <w:r w:rsidR="000F6563" w:rsidRPr="00F34B79">
          <w:rPr>
            <w:rStyle w:val="Hyperlink"/>
            <w:rFonts w:ascii="Arial" w:hAnsi="Arial" w:cs="Arial"/>
            <w:sz w:val="24"/>
            <w:szCs w:val="24"/>
          </w:rPr>
          <w:t>www.surplussales.gov</w:t>
        </w:r>
      </w:hyperlink>
    </w:p>
    <w:p w:rsidR="000F6563" w:rsidRDefault="00E079F2" w:rsidP="000F656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9" w:history="1">
        <w:r w:rsidR="000F6563" w:rsidRPr="00F34B79">
          <w:rPr>
            <w:rStyle w:val="Hyperlink"/>
            <w:rFonts w:ascii="Arial" w:hAnsi="Arial" w:cs="Arial"/>
            <w:sz w:val="24"/>
            <w:szCs w:val="24"/>
          </w:rPr>
          <w:t>www.computersforlearning.gov</w:t>
        </w:r>
      </w:hyperlink>
    </w:p>
    <w:p w:rsidR="000F6563" w:rsidRDefault="00E079F2" w:rsidP="000F656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0" w:history="1">
        <w:r w:rsidR="000F6563" w:rsidRPr="00F34B79">
          <w:rPr>
            <w:rStyle w:val="Hyperlink"/>
            <w:rFonts w:ascii="Arial" w:hAnsi="Arial" w:cs="Arial"/>
            <w:sz w:val="24"/>
            <w:szCs w:val="24"/>
          </w:rPr>
          <w:t>www.mysales.fss.gsa.gov</w:t>
        </w:r>
      </w:hyperlink>
    </w:p>
    <w:p w:rsidR="000F6563" w:rsidRDefault="00E079F2" w:rsidP="000F6563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1" w:history="1">
        <w:r w:rsidR="000F6563" w:rsidRPr="00F34B79">
          <w:rPr>
            <w:rStyle w:val="Hyperlink"/>
            <w:rFonts w:ascii="Arial" w:hAnsi="Arial" w:cs="Arial"/>
            <w:sz w:val="24"/>
            <w:szCs w:val="24"/>
          </w:rPr>
          <w:t>www.gsaauctions.gov</w:t>
        </w:r>
      </w:hyperlink>
    </w:p>
    <w:p w:rsidR="000F6563" w:rsidRPr="000F6563" w:rsidRDefault="000F6563" w:rsidP="000F6563">
      <w:pPr>
        <w:ind w:left="1080"/>
        <w:rPr>
          <w:rFonts w:ascii="Arial" w:hAnsi="Arial" w:cs="Arial"/>
          <w:sz w:val="24"/>
          <w:szCs w:val="24"/>
        </w:rPr>
      </w:pPr>
    </w:p>
    <w:p w:rsidR="009F7378" w:rsidRDefault="009F7378" w:rsidP="00B15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Personal Property may be withdrawn after award </w:t>
      </w:r>
      <w:r w:rsidR="00A17752">
        <w:rPr>
          <w:rFonts w:ascii="Arial" w:hAnsi="Arial" w:cs="Arial"/>
          <w:sz w:val="24"/>
          <w:szCs w:val="24"/>
        </w:rPr>
        <w:t xml:space="preserve">(before removal) </w:t>
      </w:r>
      <w:r>
        <w:rPr>
          <w:rFonts w:ascii="Arial" w:hAnsi="Arial" w:cs="Arial"/>
          <w:sz w:val="24"/>
          <w:szCs w:val="24"/>
        </w:rPr>
        <w:t xml:space="preserve">for </w:t>
      </w:r>
      <w:r w:rsidR="00A17752">
        <w:rPr>
          <w:rFonts w:ascii="Arial" w:hAnsi="Arial" w:cs="Arial"/>
          <w:sz w:val="24"/>
          <w:szCs w:val="24"/>
        </w:rPr>
        <w:t>reutilization by the holding agency.  True or False?</w:t>
      </w:r>
    </w:p>
    <w:p w:rsidR="00A17752" w:rsidRPr="00A17752" w:rsidRDefault="00A17752" w:rsidP="00A17752">
      <w:pPr>
        <w:pStyle w:val="ListParagraph"/>
        <w:rPr>
          <w:rFonts w:ascii="Arial" w:hAnsi="Arial" w:cs="Arial"/>
          <w:sz w:val="24"/>
          <w:szCs w:val="24"/>
        </w:rPr>
      </w:pPr>
    </w:p>
    <w:p w:rsidR="00A17752" w:rsidRDefault="00A17752" w:rsidP="00B15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The GSA Sales Office offers undistributed State Agency Property for sale to the public.  True or False?</w:t>
      </w:r>
    </w:p>
    <w:p w:rsidR="00317245" w:rsidRPr="00317245" w:rsidRDefault="00317245" w:rsidP="00317245">
      <w:pPr>
        <w:pStyle w:val="ListParagraph"/>
        <w:rPr>
          <w:rFonts w:ascii="Arial" w:hAnsi="Arial" w:cs="Arial"/>
          <w:sz w:val="24"/>
          <w:szCs w:val="24"/>
        </w:rPr>
      </w:pPr>
    </w:p>
    <w:p w:rsidR="00317245" w:rsidRDefault="00317245" w:rsidP="00B15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Name the on-line sale site for sales of surplus government owned personal property.</w:t>
      </w:r>
    </w:p>
    <w:p w:rsidR="00317245" w:rsidRPr="00317245" w:rsidRDefault="00317245" w:rsidP="00317245">
      <w:pPr>
        <w:pStyle w:val="ListParagraph"/>
        <w:rPr>
          <w:rFonts w:ascii="Arial" w:hAnsi="Arial" w:cs="Arial"/>
          <w:sz w:val="24"/>
          <w:szCs w:val="24"/>
        </w:rPr>
      </w:pPr>
    </w:p>
    <w:p w:rsidR="00317245" w:rsidRDefault="00317245" w:rsidP="00B15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Cite the FMR guidance pertaining to the Exchange/Sale Authority.</w:t>
      </w:r>
    </w:p>
    <w:p w:rsidR="00317245" w:rsidRPr="00317245" w:rsidRDefault="00317245" w:rsidP="00317245">
      <w:pPr>
        <w:pStyle w:val="ListParagraph"/>
        <w:rPr>
          <w:rFonts w:ascii="Arial" w:hAnsi="Arial" w:cs="Arial"/>
          <w:sz w:val="24"/>
          <w:szCs w:val="24"/>
        </w:rPr>
      </w:pPr>
    </w:p>
    <w:p w:rsidR="00317245" w:rsidRDefault="00317245" w:rsidP="00B15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Which GSA Zone or Regional Office manages the Foreign Gifts Program?</w:t>
      </w:r>
    </w:p>
    <w:p w:rsidR="00317245" w:rsidRPr="00317245" w:rsidRDefault="00317245" w:rsidP="00317245">
      <w:pPr>
        <w:pStyle w:val="ListParagraph"/>
        <w:rPr>
          <w:rFonts w:ascii="Arial" w:hAnsi="Arial" w:cs="Arial"/>
          <w:sz w:val="24"/>
          <w:szCs w:val="24"/>
        </w:rPr>
      </w:pPr>
    </w:p>
    <w:p w:rsidR="000F05F1" w:rsidRDefault="000F05F1" w:rsidP="00B15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What are two most important things to keep in mind when reporting property to GSA for disposal?</w:t>
      </w:r>
    </w:p>
    <w:p w:rsidR="000F05F1" w:rsidRPr="000F05F1" w:rsidRDefault="000F05F1" w:rsidP="000F05F1">
      <w:pPr>
        <w:pStyle w:val="ListParagraph"/>
        <w:rPr>
          <w:rFonts w:ascii="Arial" w:hAnsi="Arial" w:cs="Arial"/>
          <w:sz w:val="24"/>
          <w:szCs w:val="24"/>
        </w:rPr>
      </w:pPr>
    </w:p>
    <w:p w:rsidR="000F05F1" w:rsidRDefault="000F05F1" w:rsidP="00B15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Name two alternative sources for the disposal of electronic scrap/waste.</w:t>
      </w:r>
    </w:p>
    <w:p w:rsidR="000F05F1" w:rsidRPr="000F05F1" w:rsidRDefault="000F05F1" w:rsidP="000F05F1">
      <w:pPr>
        <w:pStyle w:val="ListParagraph"/>
        <w:rPr>
          <w:rFonts w:ascii="Arial" w:hAnsi="Arial" w:cs="Arial"/>
          <w:sz w:val="24"/>
          <w:szCs w:val="24"/>
        </w:rPr>
      </w:pPr>
    </w:p>
    <w:p w:rsidR="000F05F1" w:rsidRDefault="000F05F1" w:rsidP="00B15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Name the system GSA offers to customer agencies to assist with internal screening.</w:t>
      </w:r>
    </w:p>
    <w:p w:rsidR="000F05F1" w:rsidRPr="000F05F1" w:rsidRDefault="000F05F1" w:rsidP="000F05F1">
      <w:pPr>
        <w:pStyle w:val="ListParagraph"/>
        <w:rPr>
          <w:rFonts w:ascii="Arial" w:hAnsi="Arial" w:cs="Arial"/>
          <w:sz w:val="24"/>
          <w:szCs w:val="24"/>
        </w:rPr>
      </w:pPr>
    </w:p>
    <w:p w:rsidR="00317245" w:rsidRDefault="000F05F1" w:rsidP="00B151C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Cite the Federal Management Regulations that provide guidance for the disposal of </w:t>
      </w:r>
      <w:r w:rsidR="00A94BBB">
        <w:rPr>
          <w:rFonts w:ascii="Arial" w:hAnsi="Arial" w:cs="Arial"/>
          <w:sz w:val="24"/>
          <w:szCs w:val="24"/>
        </w:rPr>
        <w:t>items requiring special handling.  Cite the FMR guidance that pertains to the disposal of seized, forfeited,</w:t>
      </w:r>
      <w:r w:rsidR="00E079F2">
        <w:rPr>
          <w:rFonts w:ascii="Arial" w:hAnsi="Arial" w:cs="Arial"/>
          <w:sz w:val="24"/>
          <w:szCs w:val="24"/>
        </w:rPr>
        <w:t xml:space="preserve"> voluntary abandoned, and unclaimed personal property.</w:t>
      </w:r>
      <w:bookmarkStart w:id="0" w:name="_GoBack"/>
      <w:bookmarkEnd w:id="0"/>
    </w:p>
    <w:p w:rsidR="00A17752" w:rsidRPr="00A17752" w:rsidRDefault="00A17752" w:rsidP="00A17752">
      <w:pPr>
        <w:pStyle w:val="ListParagraph"/>
        <w:rPr>
          <w:rFonts w:ascii="Arial" w:hAnsi="Arial" w:cs="Arial"/>
          <w:sz w:val="24"/>
          <w:szCs w:val="24"/>
        </w:rPr>
      </w:pPr>
    </w:p>
    <w:p w:rsidR="00B151CD" w:rsidRPr="00317245" w:rsidRDefault="00B151CD" w:rsidP="00317245">
      <w:pPr>
        <w:rPr>
          <w:rFonts w:ascii="Arial" w:hAnsi="Arial" w:cs="Arial"/>
          <w:sz w:val="24"/>
          <w:szCs w:val="24"/>
        </w:rPr>
      </w:pPr>
    </w:p>
    <w:p w:rsidR="00C3049F" w:rsidRPr="00C3049F" w:rsidRDefault="00C3049F" w:rsidP="00C3049F">
      <w:pPr>
        <w:ind w:left="360"/>
        <w:rPr>
          <w:rFonts w:ascii="Arial" w:hAnsi="Arial" w:cs="Arial"/>
          <w:sz w:val="24"/>
          <w:szCs w:val="24"/>
        </w:rPr>
      </w:pPr>
    </w:p>
    <w:p w:rsidR="003410AF" w:rsidRPr="003410AF" w:rsidRDefault="003410AF" w:rsidP="003410AF">
      <w:pPr>
        <w:pStyle w:val="ListParagraph"/>
        <w:rPr>
          <w:rFonts w:ascii="Arial" w:hAnsi="Arial" w:cs="Arial"/>
          <w:sz w:val="24"/>
          <w:szCs w:val="24"/>
        </w:rPr>
      </w:pPr>
    </w:p>
    <w:sectPr w:rsidR="003410AF" w:rsidRPr="0034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095"/>
    <w:multiLevelType w:val="hybridMultilevel"/>
    <w:tmpl w:val="39CC9134"/>
    <w:lvl w:ilvl="0" w:tplc="FA2E7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035CB"/>
    <w:multiLevelType w:val="hybridMultilevel"/>
    <w:tmpl w:val="FDD69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04F2F"/>
    <w:multiLevelType w:val="hybridMultilevel"/>
    <w:tmpl w:val="31447AF0"/>
    <w:lvl w:ilvl="0" w:tplc="AE64E0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53E3C"/>
    <w:multiLevelType w:val="hybridMultilevel"/>
    <w:tmpl w:val="65F843B8"/>
    <w:lvl w:ilvl="0" w:tplc="9F7E3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D3016"/>
    <w:multiLevelType w:val="hybridMultilevel"/>
    <w:tmpl w:val="86945B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562E37"/>
    <w:multiLevelType w:val="hybridMultilevel"/>
    <w:tmpl w:val="1FB2733A"/>
    <w:lvl w:ilvl="0" w:tplc="660C5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96CF9"/>
    <w:multiLevelType w:val="hybridMultilevel"/>
    <w:tmpl w:val="8A0A4A68"/>
    <w:lvl w:ilvl="0" w:tplc="4760C3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E52AB9"/>
    <w:multiLevelType w:val="hybridMultilevel"/>
    <w:tmpl w:val="73D072AC"/>
    <w:lvl w:ilvl="0" w:tplc="09CE8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C32962"/>
    <w:multiLevelType w:val="hybridMultilevel"/>
    <w:tmpl w:val="1922895C"/>
    <w:lvl w:ilvl="0" w:tplc="5E9AA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561FFE"/>
    <w:multiLevelType w:val="hybridMultilevel"/>
    <w:tmpl w:val="6ACCB0B4"/>
    <w:lvl w:ilvl="0" w:tplc="E3248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8A"/>
    <w:rsid w:val="000344F1"/>
    <w:rsid w:val="00096593"/>
    <w:rsid w:val="000F05F1"/>
    <w:rsid w:val="000F6563"/>
    <w:rsid w:val="00154C50"/>
    <w:rsid w:val="00234825"/>
    <w:rsid w:val="00261D11"/>
    <w:rsid w:val="00307C67"/>
    <w:rsid w:val="00317245"/>
    <w:rsid w:val="003410AF"/>
    <w:rsid w:val="003F6818"/>
    <w:rsid w:val="004439E2"/>
    <w:rsid w:val="00445CAC"/>
    <w:rsid w:val="005C55FA"/>
    <w:rsid w:val="005E1CDB"/>
    <w:rsid w:val="00665FB1"/>
    <w:rsid w:val="00691D54"/>
    <w:rsid w:val="00693950"/>
    <w:rsid w:val="00714852"/>
    <w:rsid w:val="008D6DCC"/>
    <w:rsid w:val="00900B41"/>
    <w:rsid w:val="009319F5"/>
    <w:rsid w:val="009E4E28"/>
    <w:rsid w:val="009F7378"/>
    <w:rsid w:val="00A17752"/>
    <w:rsid w:val="00A55C8A"/>
    <w:rsid w:val="00A94BBB"/>
    <w:rsid w:val="00B151CD"/>
    <w:rsid w:val="00B75A42"/>
    <w:rsid w:val="00BC54BF"/>
    <w:rsid w:val="00C27F3B"/>
    <w:rsid w:val="00C3049F"/>
    <w:rsid w:val="00C71554"/>
    <w:rsid w:val="00CC27F4"/>
    <w:rsid w:val="00CF0103"/>
    <w:rsid w:val="00D13EB6"/>
    <w:rsid w:val="00D16377"/>
    <w:rsid w:val="00D61340"/>
    <w:rsid w:val="00E079F2"/>
    <w:rsid w:val="00E555AD"/>
    <w:rsid w:val="00F07E56"/>
    <w:rsid w:val="00F16516"/>
    <w:rsid w:val="00F5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8A"/>
    <w:pPr>
      <w:ind w:left="720"/>
      <w:contextualSpacing/>
    </w:pPr>
  </w:style>
  <w:style w:type="paragraph" w:customStyle="1" w:styleId="pindented1">
    <w:name w:val="pindented1"/>
    <w:basedOn w:val="Normal"/>
    <w:rsid w:val="00665FB1"/>
    <w:pPr>
      <w:spacing w:after="0" w:line="240" w:lineRule="auto"/>
      <w:ind w:firstLine="24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5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8A"/>
    <w:pPr>
      <w:ind w:left="720"/>
      <w:contextualSpacing/>
    </w:pPr>
  </w:style>
  <w:style w:type="paragraph" w:customStyle="1" w:styleId="pindented1">
    <w:name w:val="pindented1"/>
    <w:basedOn w:val="Normal"/>
    <w:rsid w:val="00665FB1"/>
    <w:pPr>
      <w:spacing w:after="0" w:line="240" w:lineRule="auto"/>
      <w:ind w:firstLine="24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01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0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6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4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plussales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saxcess.gov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saauctions.gov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ysales.fss.gsa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mputersforlearning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543CE-DD8D-473E-B2E4-4248511F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Services Administration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RickeyDParker</dc:creator>
  <cp:lastModifiedBy>CharlesRobinson</cp:lastModifiedBy>
  <cp:revision>4</cp:revision>
  <dcterms:created xsi:type="dcterms:W3CDTF">2018-03-15T13:50:00Z</dcterms:created>
  <dcterms:modified xsi:type="dcterms:W3CDTF">2018-03-15T14:10:00Z</dcterms:modified>
</cp:coreProperties>
</file>